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Unraveling the genetic mechanisms associated with yield-limiting seed shatter in Northern Wild Rice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Zizania palustris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L.)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Jennifer Kimball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Agronomy and Plant Genetics, University of Minnesota, St. Paul, MN 55108,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Northern Wild Rice (NWR;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Zizania palustris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L.) is an annual, aquatic crop with a nutritious and flavorful grain that is grown in irrigated paddies, primarily in Minnesota and California. Native to North America, the species shares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fascinatingly close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relationship with white rice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Oryza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sp.) and is considered to be one of the genus’ Crop Wild Relatives. NWR research has benefitted from this relatedness and the expansive genomic resources available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Oryza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sp. Seed shattering, in particular, has been well studied in white rice and other major crops, leading to the identification of major genes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contributing to the development of the domestication syndrome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theory. As a major limiting factor in NWR cultivation, seed shattering reduces yields by ~20% each season and leads to an unwanted, volunteer seed bank. Through a series of RNA- and DNA-based sequencing studies, including the analysis of expression levels of known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Oryza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genes associated with seed shattering, we are beginning to unravel the genetic pathways associated with seed shattering in NWR. Ultimately, we aim to incorporate marker-assisted selection into our NWR breeding pipeline in order to fix shattering resistance alleles and improve yield for NWR growers.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D1D0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D1D0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D1D0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D1D0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D1D0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D1D0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D1D0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D1D0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D1D0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D1D0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D1D0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D1D0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D1D0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D1D0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D1D0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D1D0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D1D0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D1D0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D1D0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D1D0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D1D0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D1D0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D1D0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D1D0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D1D0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D1D0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D1D0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D1D0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D1D06"/>
    <w:rPr>
      <w:b w:val="1"/>
      <w:bCs w:val="1"/>
      <w:smallCaps w:val="1"/>
      <w:color w:val="0f4761" w:themeColor="accent1" w:themeShade="0000BF"/>
      <w:spacing w:val="5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D4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D4C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4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D4C0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D4C0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bhvhm8nbXpHpm1c38oawpH4Dg==">CgMxLjA4AGomChRzdWdnZXN0LjdocDFiNWZ1OG0wdRIOTGlsbGlhbiBNY0dpbHBqJgoUc3VnZ2VzdC5jcms4cjdsamhld2wSDkxpbGxpYW4gTWNHaWxwaiYKFHN1Z2dlc3QuYzM0c2ptdGhyczU4Eg5MaWxsaWFuIE1jR2lscGomChRzdWdnZXN0LjR0Z200bG0zMTUzMRIOTGlsbGlhbiBNY0dpbHBqJgoUc3VnZ2VzdC5lYWlxMWl4cnNhZHoSDkxpbGxpYW4gTWNHaWxwciExSy1ocE84U1AzSHd2bHAxTEpjZVpZa2dnaGFTREJUN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2024-07-09T17:36:00Z</dcterms:created>
  <dc:creator>Jennifer Kimball</dc:creator>
</cp:coreProperties>
</file>